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hd w:fill="ffffff" w:val="clear"/>
        <w:rPr>
          <w:rFonts w:ascii="Afacad" w:cs="Afacad" w:eastAsia="Afacad" w:hAnsi="Afacad"/>
          <w:sz w:val="58"/>
          <w:szCs w:val="58"/>
        </w:rPr>
      </w:pPr>
      <w:bookmarkStart w:colFirst="0" w:colLast="0" w:name="_heading=h.tovm4jky74tu" w:id="0"/>
      <w:bookmarkEnd w:id="0"/>
      <w:r w:rsidDel="00000000" w:rsidR="00000000" w:rsidRPr="00000000">
        <w:rPr>
          <w:rFonts w:ascii="Afacad" w:cs="Afacad" w:eastAsia="Afacad" w:hAnsi="Afacad"/>
          <w:sz w:val="58"/>
          <w:szCs w:val="58"/>
          <w:rtl w:val="0"/>
        </w:rPr>
        <w:t xml:space="preserve">Assessment Invitation Email</w:t>
      </w:r>
    </w:p>
    <w:p w:rsidR="00000000" w:rsidDel="00000000" w:rsidP="00000000" w:rsidRDefault="00000000" w:rsidRPr="00000000" w14:paraId="00000002">
      <w:pPr>
        <w:shd w:fill="ffffff" w:val="clear"/>
        <w:rPr>
          <w:rFonts w:ascii="Afacad" w:cs="Afacad" w:eastAsia="Afacad" w:hAnsi="Afacad"/>
          <w:sz w:val="28"/>
          <w:szCs w:val="28"/>
        </w:rPr>
      </w:pPr>
      <w:r w:rsidDel="00000000" w:rsidR="00000000" w:rsidRPr="00000000">
        <w:rPr>
          <w:rFonts w:ascii="Afacad" w:cs="Afacad" w:eastAsia="Afacad" w:hAnsi="Afacad"/>
          <w:color w:val="222222"/>
          <w:sz w:val="28"/>
          <w:szCs w:val="28"/>
          <w:rtl w:val="0"/>
        </w:rPr>
        <w:t xml:space="preserve">This is the email sent to Northwest following an initial conversation with the Candidate. The seminary will reach out directly to the candidate to start the formal assessment process. Make sure to fill out </w:t>
      </w:r>
      <w:hyperlink r:id="rId7">
        <w:r w:rsidDel="00000000" w:rsidR="00000000" w:rsidRPr="00000000">
          <w:rPr>
            <w:rFonts w:ascii="Afacad" w:cs="Afacad" w:eastAsia="Afacad" w:hAnsi="Afacad"/>
            <w:color w:val="0000ee"/>
            <w:sz w:val="28"/>
            <w:szCs w:val="28"/>
            <w:u w:val="single"/>
            <w:rtl w:val="0"/>
          </w:rPr>
          <w:t xml:space="preserve">Interview #1 Questions for Immerse Candidacy:</w:t>
        </w:r>
      </w:hyperlink>
      <w:r w:rsidDel="00000000" w:rsidR="00000000" w:rsidRPr="00000000">
        <w:rPr>
          <w:rFonts w:ascii="Afacad" w:cs="Afacad" w:eastAsia="Afacad" w:hAnsi="Afacad"/>
          <w:color w:val="222222"/>
          <w:sz w:val="28"/>
          <w:szCs w:val="28"/>
          <w:rtl w:val="0"/>
        </w:rPr>
        <w:t xml:space="preserve">  </w:t>
      </w:r>
      <w:r w:rsidDel="00000000" w:rsidR="00000000" w:rsidRPr="00000000">
        <w:rPr>
          <w:rFonts w:ascii="Afacad" w:cs="Afacad" w:eastAsia="Afacad" w:hAnsi="Afacad"/>
          <w:color w:val="222222"/>
          <w:sz w:val="28"/>
          <w:szCs w:val="28"/>
          <w:rtl w:val="0"/>
        </w:rPr>
        <w:t xml:space="preserve">during the initial conversation. </w:t>
      </w:r>
      <w:r w:rsidDel="00000000" w:rsidR="00000000" w:rsidRPr="00000000">
        <w:rPr>
          <w:rtl w:val="0"/>
        </w:rPr>
      </w:r>
    </w:p>
    <w:p w:rsidR="00000000" w:rsidDel="00000000" w:rsidP="00000000" w:rsidRDefault="00000000" w:rsidRPr="00000000" w14:paraId="00000003">
      <w:pPr>
        <w:rPr>
          <w:rFonts w:ascii="Afacad" w:cs="Afacad" w:eastAsia="Afacad" w:hAnsi="Afacad"/>
          <w:sz w:val="28"/>
          <w:szCs w:val="28"/>
        </w:rPr>
      </w:pPr>
      <w:r w:rsidDel="00000000" w:rsidR="00000000" w:rsidRPr="00000000">
        <w:rPr>
          <w:rtl w:val="0"/>
        </w:rPr>
      </w:r>
    </w:p>
    <w:tbl>
      <w:tblPr>
        <w:tblStyle w:val="Table1"/>
        <w:tblW w:w="933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5"/>
        <w:gridCol w:w="7995"/>
        <w:tblGridChange w:id="0">
          <w:tblGrid>
            <w:gridCol w:w="1335"/>
            <w:gridCol w:w="7995"/>
          </w:tblGrid>
        </w:tblGridChange>
      </w:tblGrid>
      <w:tr>
        <w:trPr>
          <w:cantSplit w:val="0"/>
          <w:tblHeader w:val="0"/>
        </w:trPr>
        <w:tc>
          <w:tcPr>
            <w:tcBorders>
              <w:top w:color="bdc1c6" w:space="0" w:sz="8" w:val="single"/>
              <w:left w:color="000000" w:space="0" w:sz="0" w:val="nil"/>
              <w:bottom w:color="bdc1c6" w:space="0" w:sz="8" w:val="single"/>
              <w:right w:color="bdc1c6" w:space="0" w:sz="8" w:val="single"/>
            </w:tcBorders>
            <w:shd w:fill="f1f3f4" w:val="clear"/>
            <w:tcMar>
              <w:top w:w="144.0" w:type="dxa"/>
              <w:left w:w="144.0" w:type="dxa"/>
              <w:bottom w:w="144.0" w:type="dxa"/>
              <w:right w:w="144.0" w:type="dxa"/>
            </w:tcMar>
            <w:vAlign w:val="top"/>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facad" w:cs="Afacad" w:eastAsia="Afacad" w:hAnsi="Afacad"/>
                <w:sz w:val="28"/>
                <w:szCs w:val="28"/>
              </w:rPr>
            </w:pPr>
            <w:r w:rsidDel="00000000" w:rsidR="00000000" w:rsidRPr="00000000">
              <w:rPr>
                <w:rFonts w:ascii="Afacad" w:cs="Afacad" w:eastAsia="Afacad" w:hAnsi="Afacad"/>
                <w:b w:val="1"/>
                <w:bCs w:val="1"/>
                <w:sz w:val="28"/>
                <w:szCs w:val="28"/>
                <w:rtl w:val="0"/>
              </w:rPr>
              <w:t xml:space="preserve">To</w:t>
            </w: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5">
            <w:pPr>
              <w:shd w:fill="ffffff" w:val="clear"/>
              <w:rPr>
                <w:rFonts w:ascii="Afacad" w:cs="Afacad" w:eastAsia="Afacad" w:hAnsi="Afacad"/>
                <w:color w:val="1155cc"/>
                <w:sz w:val="28"/>
                <w:szCs w:val="28"/>
                <w:highlight w:val="white"/>
              </w:rPr>
            </w:pPr>
            <w:hyperlink r:id="rId8">
              <w:r w:rsidDel="00000000" w:rsidR="00000000" w:rsidRPr="00000000">
                <w:rPr>
                  <w:rFonts w:ascii="Afacad" w:cs="Afacad" w:eastAsia="Afacad" w:hAnsi="Afacad"/>
                  <w:color w:val="0000ee"/>
                  <w:sz w:val="28"/>
                  <w:szCs w:val="28"/>
                  <w:highlight w:val="white"/>
                  <w:u w:val="single"/>
                  <w:rtl w:val="0"/>
                </w:rPr>
                <w:t xml:space="preserve">nikki@nbseminary.ca</w:t>
              </w:r>
            </w:hyperlink>
            <w:r w:rsidDel="00000000" w:rsidR="00000000" w:rsidRPr="00000000">
              <w:rPr>
                <w:rFonts w:ascii="Afacad" w:cs="Afacad" w:eastAsia="Afacad" w:hAnsi="Afacad"/>
                <w:color w:val="222222"/>
                <w:sz w:val="28"/>
                <w:szCs w:val="28"/>
                <w:highlight w:val="white"/>
                <w:rtl w:val="0"/>
              </w:rPr>
              <w:t xml:space="preserve"> </w:t>
            </w:r>
            <w:hyperlink r:id="rId9">
              <w:r w:rsidDel="00000000" w:rsidR="00000000" w:rsidRPr="00000000">
                <w:rPr>
                  <w:rFonts w:ascii="Afacad" w:cs="Afacad" w:eastAsia="Afacad" w:hAnsi="Afacad"/>
                  <w:color w:val="0000ee"/>
                  <w:sz w:val="28"/>
                  <w:szCs w:val="28"/>
                  <w:highlight w:val="white"/>
                  <w:u w:val="single"/>
                  <w:rtl w:val="0"/>
                </w:rPr>
                <w:t xml:space="preserve">admissions@nbseminary.ca</w:t>
              </w:r>
            </w:hyperlink>
            <w:r w:rsidDel="00000000" w:rsidR="00000000" w:rsidRPr="00000000">
              <w:rPr>
                <w:rFonts w:ascii="Afacad" w:cs="Afacad" w:eastAsia="Afacad" w:hAnsi="Afacad"/>
                <w:color w:val="1155cc"/>
                <w:sz w:val="28"/>
                <w:szCs w:val="28"/>
                <w:highlight w:val="white"/>
                <w:rtl w:val="0"/>
              </w:rPr>
              <w:t xml:space="preserve"> </w:t>
            </w:r>
          </w:p>
          <w:p w:rsidR="00000000" w:rsidDel="00000000" w:rsidP="00000000" w:rsidRDefault="00000000" w:rsidRPr="00000000" w14:paraId="00000006">
            <w:pPr>
              <w:shd w:fill="ffffff" w:val="clear"/>
              <w:rPr>
                <w:rFonts w:ascii="Afacad" w:cs="Afacad" w:eastAsia="Afacad" w:hAnsi="Afacad"/>
                <w:color w:val="1155cc"/>
                <w:sz w:val="28"/>
                <w:szCs w:val="28"/>
                <w:highlight w:val="white"/>
              </w:rPr>
            </w:pPr>
            <w:r w:rsidDel="00000000" w:rsidR="00000000" w:rsidRPr="00000000">
              <w:rPr>
                <w:rtl w:val="0"/>
              </w:rPr>
            </w:r>
          </w:p>
        </w:tc>
      </w:tr>
      <w:tr>
        <w:trPr>
          <w:cantSplit w:val="0"/>
          <w:tblHeader w:val="0"/>
        </w:trPr>
        <w:tc>
          <w:tcPr>
            <w:tcBorders>
              <w:top w:color="bdc1c6" w:space="0" w:sz="8" w:val="single"/>
              <w:left w:color="000000" w:space="0" w:sz="0" w:val="nil"/>
              <w:bottom w:color="bdc1c6" w:space="0" w:sz="8" w:val="single"/>
              <w:right w:color="bdc1c6" w:space="0" w:sz="8" w:val="single"/>
            </w:tcBorders>
            <w:shd w:fill="f1f3f4" w:val="clear"/>
            <w:tcMar>
              <w:top w:w="144.0" w:type="dxa"/>
              <w:left w:w="144.0" w:type="dxa"/>
              <w:bottom w:w="144.0" w:type="dxa"/>
              <w:right w:w="144.0" w:type="dxa"/>
            </w:tcMar>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facad" w:cs="Afacad" w:eastAsia="Afacad" w:hAnsi="Afacad"/>
                <w:sz w:val="28"/>
                <w:szCs w:val="28"/>
              </w:rPr>
            </w:pPr>
            <w:r w:rsidDel="00000000" w:rsidR="00000000" w:rsidRPr="00000000">
              <w:rPr>
                <w:rFonts w:ascii="Afacad" w:cs="Afacad" w:eastAsia="Afacad" w:hAnsi="Afacad"/>
                <w:b w:val="1"/>
                <w:bCs w:val="1"/>
                <w:sz w:val="28"/>
                <w:szCs w:val="28"/>
                <w:rtl w:val="0"/>
              </w:rPr>
              <w:t xml:space="preserve">Cc</w:t>
            </w: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facad" w:cs="Afacad" w:eastAsia="Afacad" w:hAnsi="Afacad"/>
                <w:sz w:val="28"/>
                <w:szCs w:val="28"/>
              </w:rPr>
            </w:pPr>
            <w:r w:rsidDel="00000000" w:rsidR="00000000" w:rsidRPr="00000000">
              <w:rPr>
                <w:rFonts w:ascii="Afacad" w:cs="Afacad" w:eastAsia="Afacad" w:hAnsi="Afacad"/>
                <w:sz w:val="28"/>
                <w:szCs w:val="28"/>
                <w:rtl w:val="0"/>
              </w:rPr>
              <w:t xml:space="preserve">ADD STUDENT</w:t>
            </w:r>
          </w:p>
        </w:tc>
      </w:tr>
      <w:tr>
        <w:trPr>
          <w:cantSplit w:val="0"/>
          <w:tblHeader w:val="0"/>
        </w:trPr>
        <w:tc>
          <w:tcPr>
            <w:tcBorders>
              <w:top w:color="bdc1c6" w:space="0" w:sz="8" w:val="single"/>
              <w:left w:color="000000" w:space="0" w:sz="0" w:val="nil"/>
              <w:bottom w:color="bdc1c6" w:space="0" w:sz="8" w:val="single"/>
              <w:right w:color="bdc1c6" w:space="0" w:sz="8" w:val="single"/>
            </w:tcBorders>
            <w:shd w:fill="f1f3f4" w:val="clear"/>
            <w:tcMar>
              <w:top w:w="144.0" w:type="dxa"/>
              <w:left w:w="144.0" w:type="dxa"/>
              <w:bottom w:w="144.0" w:type="dxa"/>
              <w:right w:w="144.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facad" w:cs="Afacad" w:eastAsia="Afacad" w:hAnsi="Afacad"/>
                <w:sz w:val="28"/>
                <w:szCs w:val="28"/>
              </w:rPr>
            </w:pPr>
            <w:r w:rsidDel="00000000" w:rsidR="00000000" w:rsidRPr="00000000">
              <w:rPr>
                <w:rFonts w:ascii="Afacad" w:cs="Afacad" w:eastAsia="Afacad" w:hAnsi="Afacad"/>
                <w:b w:val="1"/>
                <w:bCs w:val="1"/>
                <w:sz w:val="28"/>
                <w:szCs w:val="28"/>
                <w:rtl w:val="0"/>
              </w:rPr>
              <w:t xml:space="preserve">Bcc</w:t>
            </w: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facad" w:cs="Afacad" w:eastAsia="Afacad" w:hAnsi="Afacad"/>
                <w:sz w:val="28"/>
                <w:szCs w:val="28"/>
              </w:rPr>
            </w:pPr>
            <w:r w:rsidDel="00000000" w:rsidR="00000000" w:rsidRPr="00000000">
              <w:rPr>
                <w:rtl w:val="0"/>
              </w:rPr>
            </w:r>
          </w:p>
        </w:tc>
      </w:tr>
      <w:tr>
        <w:trPr>
          <w:cantSplit w:val="0"/>
          <w:tblHeader w:val="0"/>
        </w:trPr>
        <w:tc>
          <w:tcPr>
            <w:tcBorders>
              <w:top w:color="bdc1c6" w:space="0" w:sz="8" w:val="single"/>
              <w:left w:color="000000" w:space="0" w:sz="0" w:val="nil"/>
              <w:bottom w:color="bdc1c6" w:space="0" w:sz="8" w:val="single"/>
              <w:right w:color="bdc1c6" w:space="0" w:sz="8" w:val="single"/>
            </w:tcBorders>
            <w:shd w:fill="f1f3f4" w:val="clear"/>
            <w:tcMar>
              <w:top w:w="144.0" w:type="dxa"/>
              <w:left w:w="144.0" w:type="dxa"/>
              <w:bottom w:w="144.0" w:type="dxa"/>
              <w:right w:w="144.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facad" w:cs="Afacad" w:eastAsia="Afacad" w:hAnsi="Afacad"/>
                <w:sz w:val="28"/>
                <w:szCs w:val="28"/>
              </w:rPr>
            </w:pPr>
            <w:r w:rsidDel="00000000" w:rsidR="00000000" w:rsidRPr="00000000">
              <w:rPr>
                <w:rFonts w:ascii="Afacad" w:cs="Afacad" w:eastAsia="Afacad" w:hAnsi="Afacad"/>
                <w:b w:val="1"/>
                <w:bCs w:val="1"/>
                <w:sz w:val="28"/>
                <w:szCs w:val="28"/>
                <w:rtl w:val="0"/>
              </w:rPr>
              <w:t xml:space="preserve">Subject</w:t>
            </w:r>
            <w:r w:rsidDel="00000000" w:rsidR="00000000" w:rsidRPr="00000000">
              <w:rPr>
                <w:rtl w:val="0"/>
              </w:rPr>
            </w:r>
          </w:p>
        </w:tc>
        <w:tc>
          <w:tcPr>
            <w:tcBorders>
              <w:top w:color="bdc1c6" w:space="0" w:sz="8" w:val="single"/>
              <w:left w:color="bdc1c6" w:space="0" w:sz="8" w:val="single"/>
              <w:bottom w:color="bdc1c6" w:space="0" w:sz="8" w:val="single"/>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0C">
            <w:pPr>
              <w:shd w:fill="ffffff" w:val="clear"/>
              <w:rPr>
                <w:rFonts w:ascii="Afacad" w:cs="Afacad" w:eastAsia="Afacad" w:hAnsi="Afacad"/>
                <w:sz w:val="28"/>
                <w:szCs w:val="28"/>
              </w:rPr>
            </w:pPr>
            <w:r w:rsidDel="00000000" w:rsidR="00000000" w:rsidRPr="00000000">
              <w:rPr>
                <w:rFonts w:ascii="Afacad" w:cs="Afacad" w:eastAsia="Afacad" w:hAnsi="Afacad"/>
                <w:color w:val="222222"/>
                <w:sz w:val="28"/>
                <w:szCs w:val="28"/>
                <w:rtl w:val="0"/>
              </w:rPr>
              <w:t xml:space="preserve">Recommending (Student) for Immerse Assessment Application</w:t>
            </w:r>
            <w:r w:rsidDel="00000000" w:rsidR="00000000" w:rsidRPr="00000000">
              <w:rPr>
                <w:rtl w:val="0"/>
              </w:rPr>
            </w:r>
          </w:p>
        </w:tc>
      </w:tr>
      <w:tr>
        <w:trPr>
          <w:cantSplit w:val="0"/>
          <w:trHeight w:val="2000" w:hRule="atLeast"/>
          <w:tblHeader w:val="0"/>
        </w:trPr>
        <w:tc>
          <w:tcPr>
            <w:gridSpan w:val="2"/>
            <w:tcBorders>
              <w:top w:color="bdc1c6" w:space="0" w:sz="8" w:val="single"/>
              <w:left w:color="000000" w:space="0" w:sz="0" w:val="nil"/>
              <w:bottom w:color="bdc1c6" w:space="0" w:sz="8" w:val="single"/>
              <w:right w:color="bdc1c6" w:space="0" w:sz="8" w:val="single"/>
            </w:tcBorders>
            <w:shd w:fill="auto" w:val="clear"/>
            <w:tcMar>
              <w:top w:w="240.0" w:type="dxa"/>
              <w:left w:w="144.0" w:type="dxa"/>
              <w:bottom w:w="144.0" w:type="dxa"/>
              <w:right w:w="144.0" w:type="dxa"/>
            </w:tcMar>
            <w:vAlign w:val="top"/>
          </w:tcPr>
          <w:p w:rsidR="00000000" w:rsidDel="00000000" w:rsidP="00000000" w:rsidRDefault="00000000" w:rsidRPr="00000000" w14:paraId="0000000D">
            <w:pPr>
              <w:shd w:fill="ffffff" w:val="clear"/>
              <w:rPr>
                <w:rFonts w:ascii="Afacad" w:cs="Afacad" w:eastAsia="Afacad" w:hAnsi="Afacad"/>
                <w:color w:val="222222"/>
                <w:sz w:val="28"/>
                <w:szCs w:val="28"/>
                <w:highlight w:val="white"/>
              </w:rPr>
            </w:pPr>
            <w:r w:rsidDel="00000000" w:rsidR="00000000" w:rsidRPr="00000000">
              <w:rPr>
                <w:rFonts w:ascii="Afacad" w:cs="Afacad" w:eastAsia="Afacad" w:hAnsi="Afacad"/>
                <w:color w:val="222222"/>
                <w:sz w:val="28"/>
                <w:szCs w:val="28"/>
                <w:highlight w:val="white"/>
                <w:rtl w:val="0"/>
              </w:rPr>
              <w:t xml:space="preserve">Hi Everyone,</w:t>
            </w:r>
          </w:p>
          <w:p w:rsidR="00000000" w:rsidDel="00000000" w:rsidP="00000000" w:rsidRDefault="00000000" w:rsidRPr="00000000" w14:paraId="0000000E">
            <w:pPr>
              <w:shd w:fill="ffffff" w:val="clear"/>
              <w:rPr>
                <w:rFonts w:ascii="Afacad" w:cs="Afacad" w:eastAsia="Afacad" w:hAnsi="Afacad"/>
                <w:color w:val="0e0e0e"/>
                <w:sz w:val="27"/>
                <w:szCs w:val="27"/>
              </w:rPr>
            </w:pPr>
            <w:r w:rsidDel="00000000" w:rsidR="00000000" w:rsidRPr="00000000">
              <w:rPr>
                <w:rtl w:val="0"/>
              </w:rPr>
            </w:r>
          </w:p>
          <w:p w:rsidR="00000000" w:rsidDel="00000000" w:rsidP="00000000" w:rsidRDefault="00000000" w:rsidRPr="00000000" w14:paraId="0000000F">
            <w:pPr>
              <w:shd w:fill="ffffff" w:val="clear"/>
              <w:rPr>
                <w:rFonts w:ascii="Afacad" w:cs="Afacad" w:eastAsia="Afacad" w:hAnsi="Afacad"/>
                <w:color w:val="222222"/>
                <w:sz w:val="28"/>
                <w:szCs w:val="28"/>
                <w:highlight w:val="white"/>
              </w:rPr>
            </w:pPr>
            <w:r w:rsidDel="00000000" w:rsidR="00000000" w:rsidRPr="00000000">
              <w:rPr>
                <w:rFonts w:ascii="Afacad" w:cs="Afacad" w:eastAsia="Afacad" w:hAnsi="Afacad"/>
                <w:color w:val="222222"/>
                <w:sz w:val="28"/>
                <w:szCs w:val="28"/>
                <w:highlight w:val="white"/>
                <w:rtl w:val="0"/>
              </w:rPr>
              <w:t xml:space="preserve">Please let this email serve as the connecting point for (Student) regarding the application for the Immerse assessment.</w:t>
            </w:r>
          </w:p>
          <w:p w:rsidR="00000000" w:rsidDel="00000000" w:rsidP="00000000" w:rsidRDefault="00000000" w:rsidRPr="00000000" w14:paraId="00000010">
            <w:pPr>
              <w:numPr>
                <w:ilvl w:val="0"/>
                <w:numId w:val="1"/>
              </w:numPr>
              <w:shd w:fill="ffffff" w:val="clear"/>
              <w:spacing w:after="0" w:before="200" w:lineRule="auto"/>
              <w:ind w:left="720" w:hanging="360"/>
              <w:rPr>
                <w:rFonts w:ascii="Afacad" w:cs="Afacad" w:eastAsia="Afacad" w:hAnsi="Afacad"/>
                <w:sz w:val="28"/>
                <w:szCs w:val="28"/>
              </w:rPr>
            </w:pPr>
            <w:r w:rsidDel="00000000" w:rsidR="00000000" w:rsidRPr="00000000">
              <w:rPr>
                <w:rFonts w:ascii="Afacad" w:cs="Afacad" w:eastAsia="Afacad" w:hAnsi="Afacad"/>
                <w:color w:val="222222"/>
                <w:sz w:val="28"/>
                <w:szCs w:val="28"/>
                <w:rtl w:val="0"/>
              </w:rPr>
              <w:t xml:space="preserve">A sentence about the candidate</w:t>
            </w:r>
            <w:r w:rsidDel="00000000" w:rsidR="00000000" w:rsidRPr="00000000">
              <w:rPr>
                <w:rtl w:val="0"/>
              </w:rPr>
            </w:r>
          </w:p>
          <w:p w:rsidR="00000000" w:rsidDel="00000000" w:rsidP="00000000" w:rsidRDefault="00000000" w:rsidRPr="00000000" w14:paraId="00000011">
            <w:pPr>
              <w:numPr>
                <w:ilvl w:val="0"/>
                <w:numId w:val="1"/>
              </w:numPr>
              <w:shd w:fill="ffffff" w:val="clear"/>
              <w:spacing w:after="0" w:before="0" w:lineRule="auto"/>
              <w:ind w:left="720" w:hanging="360"/>
              <w:rPr>
                <w:rFonts w:ascii="Afacad" w:cs="Afacad" w:eastAsia="Afacad" w:hAnsi="Afacad"/>
                <w:sz w:val="28"/>
                <w:szCs w:val="28"/>
              </w:rPr>
            </w:pPr>
            <w:r w:rsidDel="00000000" w:rsidR="00000000" w:rsidRPr="00000000">
              <w:rPr>
                <w:rFonts w:ascii="Afacad" w:cs="Afacad" w:eastAsia="Afacad" w:hAnsi="Afacad"/>
                <w:color w:val="222222"/>
                <w:sz w:val="28"/>
                <w:szCs w:val="28"/>
                <w:rtl w:val="0"/>
              </w:rPr>
              <w:t xml:space="preserve">What church </w:t>
            </w:r>
            <w:r w:rsidDel="00000000" w:rsidR="00000000" w:rsidRPr="00000000">
              <w:rPr>
                <w:rFonts w:ascii="Afacad" w:cs="Afacad" w:eastAsia="Afacad" w:hAnsi="Afacad"/>
                <w:color w:val="222222"/>
                <w:sz w:val="28"/>
                <w:szCs w:val="28"/>
                <w:rtl w:val="0"/>
              </w:rPr>
              <w:t xml:space="preserve">is the candidate</w:t>
            </w:r>
            <w:r w:rsidDel="00000000" w:rsidR="00000000" w:rsidRPr="00000000">
              <w:rPr>
                <w:rFonts w:ascii="Afacad" w:cs="Afacad" w:eastAsia="Afacad" w:hAnsi="Afacad"/>
                <w:color w:val="222222"/>
                <w:sz w:val="28"/>
                <w:szCs w:val="28"/>
                <w:rtl w:val="0"/>
              </w:rPr>
              <w:t xml:space="preserve"> a part of</w:t>
            </w:r>
            <w:r w:rsidDel="00000000" w:rsidR="00000000" w:rsidRPr="00000000">
              <w:rPr>
                <w:rtl w:val="0"/>
              </w:rPr>
            </w:r>
          </w:p>
          <w:p w:rsidR="00000000" w:rsidDel="00000000" w:rsidP="00000000" w:rsidRDefault="00000000" w:rsidRPr="00000000" w14:paraId="00000012">
            <w:pPr>
              <w:numPr>
                <w:ilvl w:val="0"/>
                <w:numId w:val="1"/>
              </w:numPr>
              <w:shd w:fill="ffffff" w:val="clear"/>
              <w:spacing w:after="200" w:before="0" w:lineRule="auto"/>
              <w:ind w:left="720" w:hanging="360"/>
              <w:rPr>
                <w:rFonts w:ascii="Afacad" w:cs="Afacad" w:eastAsia="Afacad" w:hAnsi="Afacad"/>
                <w:sz w:val="28"/>
                <w:szCs w:val="28"/>
              </w:rPr>
            </w:pPr>
            <w:r w:rsidDel="00000000" w:rsidR="00000000" w:rsidRPr="00000000">
              <w:rPr>
                <w:rFonts w:ascii="Afacad" w:cs="Afacad" w:eastAsia="Afacad" w:hAnsi="Afacad"/>
                <w:color w:val="222222"/>
                <w:sz w:val="28"/>
                <w:szCs w:val="28"/>
                <w:rtl w:val="0"/>
              </w:rPr>
              <w:t xml:space="preserve">Education background</w:t>
            </w:r>
            <w:r w:rsidDel="00000000" w:rsidR="00000000" w:rsidRPr="00000000">
              <w:rPr>
                <w:rtl w:val="0"/>
              </w:rPr>
            </w:r>
          </w:p>
          <w:p w:rsidR="00000000" w:rsidDel="00000000" w:rsidP="00000000" w:rsidRDefault="00000000" w:rsidRPr="00000000" w14:paraId="00000013">
            <w:pPr>
              <w:shd w:fill="ffffff" w:val="clear"/>
              <w:rPr>
                <w:rFonts w:ascii="Afacad" w:cs="Afacad" w:eastAsia="Afacad" w:hAnsi="Afacad"/>
                <w:color w:val="222222"/>
                <w:sz w:val="28"/>
                <w:szCs w:val="28"/>
                <w:highlight w:val="white"/>
              </w:rPr>
            </w:pPr>
            <w:r w:rsidDel="00000000" w:rsidR="00000000" w:rsidRPr="00000000">
              <w:rPr>
                <w:rFonts w:ascii="Afacad" w:cs="Afacad" w:eastAsia="Afacad" w:hAnsi="Afacad"/>
                <w:color w:val="222222"/>
                <w:sz w:val="28"/>
                <w:szCs w:val="28"/>
                <w:highlight w:val="white"/>
                <w:rtl w:val="0"/>
              </w:rPr>
              <w:t xml:space="preserve">I have conducted an initial interview and, along with the candidate’s church, am pleased to recommend moving forward with the Immerse assessment process.</w:t>
            </w:r>
          </w:p>
          <w:p w:rsidR="00000000" w:rsidDel="00000000" w:rsidP="00000000" w:rsidRDefault="00000000" w:rsidRPr="00000000" w14:paraId="00000014">
            <w:pPr>
              <w:shd w:fill="ffffff" w:val="clear"/>
              <w:rPr>
                <w:rFonts w:ascii="Afacad" w:cs="Afacad" w:eastAsia="Afacad" w:hAnsi="Afacad"/>
                <w:color w:val="0e0e0e"/>
                <w:sz w:val="27"/>
                <w:szCs w:val="27"/>
              </w:rPr>
            </w:pPr>
            <w:r w:rsidDel="00000000" w:rsidR="00000000" w:rsidRPr="00000000">
              <w:rPr>
                <w:rtl w:val="0"/>
              </w:rPr>
            </w:r>
          </w:p>
          <w:p w:rsidR="00000000" w:rsidDel="00000000" w:rsidP="00000000" w:rsidRDefault="00000000" w:rsidRPr="00000000" w14:paraId="00000015">
            <w:pPr>
              <w:shd w:fill="ffffff" w:val="clear"/>
              <w:rPr>
                <w:rFonts w:ascii="Afacad" w:cs="Afacad" w:eastAsia="Afacad" w:hAnsi="Afacad"/>
                <w:color w:val="0e0e0e"/>
                <w:sz w:val="27"/>
                <w:szCs w:val="27"/>
              </w:rPr>
            </w:pPr>
            <w:r w:rsidDel="00000000" w:rsidR="00000000" w:rsidRPr="00000000">
              <w:rPr>
                <w:rFonts w:ascii="Afacad" w:cs="Afacad" w:eastAsia="Afacad" w:hAnsi="Afacad"/>
                <w:color w:val="222222"/>
                <w:sz w:val="28"/>
                <w:szCs w:val="28"/>
                <w:highlight w:val="white"/>
                <w:rtl w:val="0"/>
              </w:rPr>
              <w:t xml:space="preserve">(Student), </w:t>
            </w:r>
            <w:r w:rsidDel="00000000" w:rsidR="00000000" w:rsidRPr="00000000">
              <w:rPr>
                <w:rFonts w:ascii="Afacad" w:cs="Afacad" w:eastAsia="Afacad" w:hAnsi="Afacad"/>
                <w:color w:val="222222"/>
                <w:sz w:val="28"/>
                <w:szCs w:val="28"/>
                <w:highlight w:val="white"/>
                <w:rtl w:val="0"/>
              </w:rPr>
              <w:t xml:space="preserve">Please</w:t>
            </w:r>
            <w:r w:rsidDel="00000000" w:rsidR="00000000" w:rsidRPr="00000000">
              <w:rPr>
                <w:rFonts w:ascii="Afacad" w:cs="Afacad" w:eastAsia="Afacad" w:hAnsi="Afacad"/>
                <w:color w:val="222222"/>
                <w:sz w:val="28"/>
                <w:szCs w:val="28"/>
                <w:highlight w:val="white"/>
                <w:rtl w:val="0"/>
              </w:rPr>
              <w:t xml:space="preserve"> complete this </w:t>
            </w:r>
            <w:hyperlink r:id="rId10">
              <w:r w:rsidDel="00000000" w:rsidR="00000000" w:rsidRPr="00000000">
                <w:rPr>
                  <w:rFonts w:ascii="Afacad" w:cs="Afacad" w:eastAsia="Afacad" w:hAnsi="Afacad"/>
                  <w:color w:val="1155cc"/>
                  <w:sz w:val="27"/>
                  <w:szCs w:val="27"/>
                  <w:u w:val="single"/>
                  <w:rtl w:val="0"/>
                </w:rPr>
                <w:t xml:space="preserve">Pre-application Form</w:t>
              </w:r>
            </w:hyperlink>
            <w:r w:rsidDel="00000000" w:rsidR="00000000" w:rsidRPr="00000000">
              <w:rPr>
                <w:rFonts w:ascii="Afacad" w:cs="Afacad" w:eastAsia="Afacad" w:hAnsi="Afacad"/>
                <w:color w:val="0e0e0e"/>
                <w:sz w:val="27"/>
                <w:szCs w:val="27"/>
                <w:rtl w:val="0"/>
              </w:rPr>
              <w:t xml:space="preserve">.</w:t>
            </w:r>
          </w:p>
          <w:p w:rsidR="00000000" w:rsidDel="00000000" w:rsidP="00000000" w:rsidRDefault="00000000" w:rsidRPr="00000000" w14:paraId="00000016">
            <w:pPr>
              <w:shd w:fill="ffffff" w:val="clear"/>
              <w:rPr>
                <w:rFonts w:ascii="Afacad" w:cs="Afacad" w:eastAsia="Afacad" w:hAnsi="Afacad"/>
                <w:color w:val="0e0e0e"/>
                <w:sz w:val="27"/>
                <w:szCs w:val="27"/>
              </w:rPr>
            </w:pPr>
            <w:r w:rsidDel="00000000" w:rsidR="00000000" w:rsidRPr="00000000">
              <w:rPr>
                <w:rtl w:val="0"/>
              </w:rPr>
            </w:r>
          </w:p>
          <w:p w:rsidR="00000000" w:rsidDel="00000000" w:rsidP="00000000" w:rsidRDefault="00000000" w:rsidRPr="00000000" w14:paraId="00000017">
            <w:pPr>
              <w:shd w:fill="ffffff" w:val="clear"/>
              <w:rPr>
                <w:rFonts w:ascii="Afacad" w:cs="Afacad" w:eastAsia="Afacad" w:hAnsi="Afacad"/>
                <w:color w:val="0e0e0e"/>
                <w:sz w:val="27"/>
                <w:szCs w:val="27"/>
              </w:rPr>
            </w:pPr>
            <w:r w:rsidDel="00000000" w:rsidR="00000000" w:rsidRPr="00000000">
              <w:rPr>
                <w:rFonts w:ascii="Afacad" w:cs="Afacad" w:eastAsia="Afacad" w:hAnsi="Afacad"/>
                <w:color w:val="222222"/>
                <w:sz w:val="28"/>
                <w:szCs w:val="28"/>
                <w:highlight w:val="white"/>
                <w:rtl w:val="0"/>
              </w:rPr>
              <w:t xml:space="preserve">Thank you for connecting and advising on the next steps.</w:t>
            </w:r>
            <w:r w:rsidDel="00000000" w:rsidR="00000000" w:rsidRPr="00000000">
              <w:rPr>
                <w:rtl w:val="0"/>
              </w:rPr>
            </w:r>
          </w:p>
          <w:p w:rsidR="00000000" w:rsidDel="00000000" w:rsidP="00000000" w:rsidRDefault="00000000" w:rsidRPr="00000000" w14:paraId="00000018">
            <w:pPr>
              <w:shd w:fill="ffffff" w:val="clear"/>
              <w:rPr>
                <w:rFonts w:ascii="Afacad" w:cs="Afacad" w:eastAsia="Afacad" w:hAnsi="Afacad"/>
                <w:color w:val="0e0e0e"/>
                <w:sz w:val="27"/>
                <w:szCs w:val="27"/>
              </w:rPr>
            </w:pPr>
            <w:r w:rsidDel="00000000" w:rsidR="00000000" w:rsidRPr="00000000">
              <w:rPr>
                <w:rtl w:val="0"/>
              </w:rPr>
            </w:r>
          </w:p>
          <w:p w:rsidR="00000000" w:rsidDel="00000000" w:rsidP="00000000" w:rsidRDefault="00000000" w:rsidRPr="00000000" w14:paraId="00000019">
            <w:pPr>
              <w:shd w:fill="ffffff" w:val="clear"/>
              <w:rPr>
                <w:rFonts w:ascii="Afacad" w:cs="Afacad" w:eastAsia="Afacad" w:hAnsi="Afacad"/>
                <w:color w:val="0e0e0e"/>
                <w:sz w:val="27"/>
                <w:szCs w:val="27"/>
              </w:rPr>
            </w:pPr>
            <w:r w:rsidDel="00000000" w:rsidR="00000000" w:rsidRPr="00000000">
              <w:rPr>
                <w:rtl w:val="0"/>
              </w:rPr>
            </w:r>
          </w:p>
          <w:p w:rsidR="00000000" w:rsidDel="00000000" w:rsidP="00000000" w:rsidRDefault="00000000" w:rsidRPr="00000000" w14:paraId="0000001A">
            <w:pPr>
              <w:shd w:fill="ffffff" w:val="clear"/>
              <w:rPr>
                <w:rFonts w:ascii="Afacad" w:cs="Afacad" w:eastAsia="Afacad" w:hAnsi="Afacad"/>
                <w:color w:val="222222"/>
                <w:sz w:val="26"/>
                <w:szCs w:val="26"/>
              </w:rPr>
            </w:pPr>
            <w:r w:rsidDel="00000000" w:rsidR="00000000" w:rsidRPr="00000000">
              <w:rPr>
                <w:rtl w:val="0"/>
              </w:rPr>
            </w:r>
          </w:p>
        </w:tc>
      </w:tr>
    </w:tbl>
    <w:p w:rsidR="00000000" w:rsidDel="00000000" w:rsidP="00000000" w:rsidRDefault="00000000" w:rsidRPr="00000000" w14:paraId="0000001C">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1D">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1E">
      <w:pPr>
        <w:rPr>
          <w:rFonts w:ascii="Afacad" w:cs="Afacad" w:eastAsia="Afacad" w:hAnsi="Afacad"/>
          <w:sz w:val="28"/>
          <w:szCs w:val="28"/>
        </w:rPr>
      </w:pPr>
      <w:r w:rsidDel="00000000" w:rsidR="00000000" w:rsidRPr="00000000">
        <w:rPr>
          <w:rtl w:val="0"/>
        </w:rPr>
      </w:r>
    </w:p>
    <w:p w:rsidR="00000000" w:rsidDel="00000000" w:rsidP="00000000" w:rsidRDefault="00000000" w:rsidRPr="00000000" w14:paraId="0000001F">
      <w:pPr>
        <w:rPr>
          <w:rFonts w:ascii="Afacad" w:cs="Afacad" w:eastAsia="Afacad" w:hAnsi="Afacad"/>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faca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nbseminary.ca/admissions/apply/cbte-pre-application-english/" TargetMode="External"/><Relationship Id="rId9" Type="http://schemas.openxmlformats.org/officeDocument/2006/relationships/hyperlink" Target="mailto:admissions@nbseminary.c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document/d/1kvRKBQGPOFG7YnZ3ShEvEYoiMqHJTxGGN8LhuyIAqqA/edit?tab=t.0#heading=h.72eubr2iw17w" TargetMode="External"/><Relationship Id="rId8" Type="http://schemas.openxmlformats.org/officeDocument/2006/relationships/hyperlink" Target="mailto:nikki@nbseminary.c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facad-regular.ttf"/><Relationship Id="rId2" Type="http://schemas.openxmlformats.org/officeDocument/2006/relationships/font" Target="fonts/Afacad-bold.ttf"/><Relationship Id="rId3" Type="http://schemas.openxmlformats.org/officeDocument/2006/relationships/font" Target="fonts/Afacad-italic.ttf"/><Relationship Id="rId4" Type="http://schemas.openxmlformats.org/officeDocument/2006/relationships/font" Target="fonts/Afaca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lKM5r3pADxLlGDZ8H+axxmU92g==">CgMxLjAyDmgudG92bTRqa3k3NHR1OABqJQoUc3VnZ2VzdC54NGczbzl4dWI1OWsSDUtyaXN0YSBQZW5uZXJqIwoSc3VnZ2VzdC5yYjFoa2wyZDE3Eg1LcmlzdGEgUGVubmVyaiUKFHN1Z2dlc3QuMzNzcXRjcGU4d2l4Eg1LcmlzdGEgUGVubmVyaiUKFHN1Z2dlc3QuamwyYmlxZG9lbG40Eg1LcmlzdGEgUGVubmVyaiUKFHN1Z2dlc3QucDE0OXFodzF3YW1rEg1LcmlzdGEgUGVubmVyciExZ2xWX1ZJRXlnTjk5OFNkbGpWNXNJTDU4TldzQTdQbE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